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5051"/>
        <w:gridCol w:w="3255"/>
      </w:tblGrid>
      <w:tr w:rsidR="00AB7483" w:rsidRPr="006234AF" w:rsidTr="006234AF">
        <w:trPr>
          <w:cantSplit/>
          <w:trHeight w:val="397"/>
        </w:trPr>
        <w:tc>
          <w:tcPr>
            <w:tcW w:w="2160" w:type="dxa"/>
            <w:shd w:val="clear" w:color="auto" w:fill="BFBFBF"/>
            <w:vAlign w:val="center"/>
          </w:tcPr>
          <w:p w:rsidR="00AB7483" w:rsidRPr="006234AF" w:rsidRDefault="00AB7483" w:rsidP="00C66A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234AF">
              <w:rPr>
                <w:rFonts w:ascii="Calibri" w:hAnsi="Calibri" w:cs="Calibri"/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5051" w:type="dxa"/>
            <w:vAlign w:val="center"/>
          </w:tcPr>
          <w:p w:rsidR="00AB7483" w:rsidRPr="006234AF" w:rsidRDefault="00AB7483" w:rsidP="006E5B6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234AF">
              <w:rPr>
                <w:rFonts w:ascii="Calibri" w:hAnsi="Calibri" w:cs="Calibri"/>
                <w:b/>
                <w:sz w:val="28"/>
                <w:szCs w:val="28"/>
              </w:rPr>
              <w:t xml:space="preserve">GMOPN </w:t>
            </w:r>
            <w:r w:rsidR="006E5B6A">
              <w:rPr>
                <w:b/>
                <w:sz w:val="28"/>
                <w:szCs w:val="28"/>
              </w:rPr>
              <w:t>Health &amp; Social Care</w:t>
            </w:r>
            <w:r w:rsidR="00EA2B9E" w:rsidRPr="006234AF">
              <w:rPr>
                <w:b/>
                <w:sz w:val="28"/>
                <w:szCs w:val="28"/>
              </w:rPr>
              <w:t xml:space="preserve"> Working</w:t>
            </w:r>
            <w:r w:rsidR="009C2FDB" w:rsidRPr="006234AF">
              <w:rPr>
                <w:b/>
                <w:sz w:val="28"/>
                <w:szCs w:val="28"/>
              </w:rPr>
              <w:t xml:space="preserve"> </w:t>
            </w:r>
            <w:r w:rsidR="00EA2B9E" w:rsidRPr="006234AF">
              <w:rPr>
                <w:b/>
                <w:sz w:val="28"/>
                <w:szCs w:val="28"/>
              </w:rPr>
              <w:t>Group M</w:t>
            </w:r>
            <w:r w:rsidRPr="006234AF">
              <w:rPr>
                <w:b/>
                <w:sz w:val="28"/>
                <w:szCs w:val="28"/>
              </w:rPr>
              <w:t>eeting</w:t>
            </w:r>
          </w:p>
        </w:tc>
        <w:tc>
          <w:tcPr>
            <w:tcW w:w="3255" w:type="dxa"/>
            <w:vMerge w:val="restart"/>
            <w:vAlign w:val="center"/>
          </w:tcPr>
          <w:p w:rsidR="00AB7483" w:rsidRPr="006234AF" w:rsidRDefault="00AB7483" w:rsidP="00C66A1E">
            <w:pPr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929765" cy="10439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MOPN 2 (transparent) 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83" w:rsidRPr="006234AF" w:rsidTr="006234AF">
        <w:trPr>
          <w:cantSplit/>
          <w:trHeight w:val="397"/>
        </w:trPr>
        <w:tc>
          <w:tcPr>
            <w:tcW w:w="2160" w:type="dxa"/>
            <w:shd w:val="clear" w:color="auto" w:fill="BFBFBF"/>
            <w:vAlign w:val="center"/>
          </w:tcPr>
          <w:p w:rsidR="00AB7483" w:rsidRPr="006234AF" w:rsidRDefault="00AB7483" w:rsidP="00C66A1E">
            <w:pPr>
              <w:pStyle w:val="Heading1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rFonts w:ascii="Calibri" w:hAnsi="Calibri" w:cs="Calibri"/>
                <w:sz w:val="28"/>
                <w:szCs w:val="28"/>
              </w:rPr>
              <w:t>DATE</w:t>
            </w:r>
          </w:p>
        </w:tc>
        <w:tc>
          <w:tcPr>
            <w:tcW w:w="5051" w:type="dxa"/>
            <w:vAlign w:val="center"/>
          </w:tcPr>
          <w:p w:rsidR="00AB7483" w:rsidRPr="006234AF" w:rsidRDefault="004A420B" w:rsidP="00C66A1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4A420B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November 2024</w:t>
            </w:r>
          </w:p>
        </w:tc>
        <w:tc>
          <w:tcPr>
            <w:tcW w:w="3255" w:type="dxa"/>
            <w:vMerge/>
            <w:vAlign w:val="center"/>
          </w:tcPr>
          <w:p w:rsidR="00AB7483" w:rsidRPr="006234AF" w:rsidRDefault="00AB7483" w:rsidP="00C66A1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7483" w:rsidRPr="006234AF" w:rsidTr="006234AF">
        <w:trPr>
          <w:cantSplit/>
          <w:trHeight w:val="397"/>
        </w:trPr>
        <w:tc>
          <w:tcPr>
            <w:tcW w:w="2160" w:type="dxa"/>
            <w:shd w:val="clear" w:color="auto" w:fill="BFBFBF"/>
            <w:vAlign w:val="center"/>
          </w:tcPr>
          <w:p w:rsidR="00AB7483" w:rsidRPr="006234AF" w:rsidRDefault="00AB7483" w:rsidP="00C66A1E">
            <w:pPr>
              <w:pStyle w:val="Heading1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rFonts w:ascii="Calibri" w:hAnsi="Calibri" w:cs="Calibri"/>
                <w:sz w:val="28"/>
                <w:szCs w:val="28"/>
              </w:rPr>
              <w:t>TIME</w:t>
            </w:r>
          </w:p>
        </w:tc>
        <w:tc>
          <w:tcPr>
            <w:tcW w:w="5051" w:type="dxa"/>
            <w:vAlign w:val="center"/>
          </w:tcPr>
          <w:p w:rsidR="00AB7483" w:rsidRPr="006234AF" w:rsidRDefault="00111590" w:rsidP="00C66A1E">
            <w:pPr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rFonts w:ascii="Calibri" w:hAnsi="Calibri" w:cs="Calibri"/>
                <w:sz w:val="28"/>
                <w:szCs w:val="28"/>
              </w:rPr>
              <w:t>1:00 – 2:3</w:t>
            </w:r>
            <w:r w:rsidR="001F2B60" w:rsidRPr="006234AF">
              <w:rPr>
                <w:rFonts w:ascii="Calibri" w:hAnsi="Calibri" w:cs="Calibri"/>
                <w:sz w:val="28"/>
                <w:szCs w:val="28"/>
              </w:rPr>
              <w:t>0pm</w:t>
            </w:r>
          </w:p>
        </w:tc>
        <w:tc>
          <w:tcPr>
            <w:tcW w:w="3255" w:type="dxa"/>
            <w:vMerge/>
            <w:vAlign w:val="center"/>
          </w:tcPr>
          <w:p w:rsidR="00AB7483" w:rsidRPr="006234AF" w:rsidRDefault="00AB7483" w:rsidP="00C66A1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7483" w:rsidRPr="006234AF" w:rsidTr="006234AF">
        <w:trPr>
          <w:cantSplit/>
          <w:trHeight w:val="397"/>
        </w:trPr>
        <w:tc>
          <w:tcPr>
            <w:tcW w:w="2160" w:type="dxa"/>
            <w:tcBorders>
              <w:bottom w:val="nil"/>
            </w:tcBorders>
            <w:shd w:val="clear" w:color="auto" w:fill="BFBFBF"/>
            <w:vAlign w:val="center"/>
          </w:tcPr>
          <w:p w:rsidR="00AB7483" w:rsidRPr="006234AF" w:rsidRDefault="00AB7483" w:rsidP="00C66A1E">
            <w:pPr>
              <w:pStyle w:val="Heading1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rFonts w:ascii="Calibri" w:hAnsi="Calibri" w:cs="Calibri"/>
                <w:sz w:val="28"/>
                <w:szCs w:val="28"/>
              </w:rPr>
              <w:t>VENUE</w:t>
            </w:r>
          </w:p>
        </w:tc>
        <w:tc>
          <w:tcPr>
            <w:tcW w:w="5051" w:type="dxa"/>
            <w:vAlign w:val="center"/>
          </w:tcPr>
          <w:p w:rsidR="00AB7483" w:rsidRPr="006234AF" w:rsidRDefault="00AB7483" w:rsidP="00C66A1E">
            <w:pPr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rFonts w:ascii="Calibri" w:hAnsi="Calibri" w:cs="Calibri"/>
                <w:sz w:val="28"/>
                <w:szCs w:val="28"/>
              </w:rPr>
              <w:t>Zoom</w:t>
            </w:r>
          </w:p>
        </w:tc>
        <w:tc>
          <w:tcPr>
            <w:tcW w:w="3255" w:type="dxa"/>
            <w:vMerge/>
            <w:vAlign w:val="center"/>
          </w:tcPr>
          <w:p w:rsidR="00AB7483" w:rsidRPr="006234AF" w:rsidRDefault="00AB7483" w:rsidP="00C66A1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7483" w:rsidRPr="006234AF" w:rsidTr="006234AF">
        <w:trPr>
          <w:cantSplit/>
          <w:trHeight w:val="397"/>
        </w:trPr>
        <w:tc>
          <w:tcPr>
            <w:tcW w:w="2160" w:type="dxa"/>
            <w:tcBorders>
              <w:bottom w:val="nil"/>
            </w:tcBorders>
            <w:shd w:val="clear" w:color="auto" w:fill="BFBFBF"/>
            <w:vAlign w:val="center"/>
          </w:tcPr>
          <w:p w:rsidR="00AB7483" w:rsidRPr="006234AF" w:rsidRDefault="00AB7483" w:rsidP="00C66A1E">
            <w:pPr>
              <w:pStyle w:val="Heading1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rFonts w:ascii="Calibri" w:hAnsi="Calibri" w:cs="Calibri"/>
                <w:sz w:val="28"/>
                <w:szCs w:val="28"/>
              </w:rPr>
              <w:t>PRESENT</w:t>
            </w:r>
          </w:p>
        </w:tc>
        <w:tc>
          <w:tcPr>
            <w:tcW w:w="8306" w:type="dxa"/>
            <w:gridSpan w:val="2"/>
            <w:vAlign w:val="center"/>
          </w:tcPr>
          <w:p w:rsidR="00AB7483" w:rsidRPr="006234AF" w:rsidRDefault="004A420B" w:rsidP="006234A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Steve (Chair), Judie</w:t>
            </w:r>
            <w:r w:rsidR="00662ED8">
              <w:rPr>
                <w:rFonts w:ascii="Calibri" w:hAnsi="Calibri" w:cs="Calibri"/>
                <w:sz w:val="28"/>
                <w:szCs w:val="28"/>
              </w:rPr>
              <w:t xml:space="preserve"> Collins</w:t>
            </w:r>
            <w:r>
              <w:rPr>
                <w:rFonts w:ascii="Calibri" w:hAnsi="Calibri" w:cs="Calibri"/>
                <w:sz w:val="28"/>
                <w:szCs w:val="28"/>
              </w:rPr>
              <w:t>, J</w:t>
            </w:r>
            <w:r w:rsidR="001D5100">
              <w:rPr>
                <w:rFonts w:ascii="Calibri" w:hAnsi="Calibri" w:cs="Calibri"/>
                <w:sz w:val="28"/>
                <w:szCs w:val="28"/>
              </w:rPr>
              <w:t>amil</w:t>
            </w:r>
            <w:r w:rsidR="00662ED8">
              <w:rPr>
                <w:rFonts w:ascii="Calibri" w:hAnsi="Calibri" w:cs="Calibri"/>
                <w:sz w:val="28"/>
                <w:szCs w:val="28"/>
              </w:rPr>
              <w:t xml:space="preserve"> Abdulkader</w:t>
            </w:r>
            <w:r w:rsidR="001D5100">
              <w:rPr>
                <w:rFonts w:ascii="Calibri" w:hAnsi="Calibri" w:cs="Calibri"/>
                <w:sz w:val="28"/>
                <w:szCs w:val="28"/>
              </w:rPr>
              <w:t xml:space="preserve">, Yuen </w:t>
            </w:r>
            <w:proofErr w:type="spellStart"/>
            <w:r w:rsidR="001D5100">
              <w:rPr>
                <w:rFonts w:ascii="Calibri" w:hAnsi="Calibri" w:cs="Calibri"/>
                <w:sz w:val="28"/>
                <w:szCs w:val="28"/>
              </w:rPr>
              <w:t>Megson</w:t>
            </w:r>
            <w:proofErr w:type="spellEnd"/>
            <w:r w:rsidR="001D5100">
              <w:rPr>
                <w:rFonts w:ascii="Calibri" w:hAnsi="Calibri" w:cs="Calibri"/>
                <w:sz w:val="28"/>
                <w:szCs w:val="28"/>
              </w:rPr>
              <w:t xml:space="preserve">, Alan Norton, </w:t>
            </w:r>
            <w:proofErr w:type="spellStart"/>
            <w:r w:rsidR="001D5100">
              <w:rPr>
                <w:rFonts w:ascii="Calibri" w:hAnsi="Calibri" w:cs="Calibri"/>
                <w:sz w:val="28"/>
                <w:szCs w:val="28"/>
              </w:rPr>
              <w:t>Doretta</w:t>
            </w:r>
            <w:proofErr w:type="spellEnd"/>
            <w:r w:rsidR="006C6510">
              <w:rPr>
                <w:rFonts w:ascii="Calibri" w:hAnsi="Calibri" w:cs="Calibri"/>
                <w:sz w:val="28"/>
                <w:szCs w:val="28"/>
              </w:rPr>
              <w:t xml:space="preserve"> Maynard</w:t>
            </w:r>
            <w:r w:rsidR="001D5100">
              <w:rPr>
                <w:rFonts w:ascii="Calibri" w:hAnsi="Calibri" w:cs="Calibri"/>
                <w:sz w:val="28"/>
                <w:szCs w:val="28"/>
              </w:rPr>
              <w:t>, Beth Mitchell (speaker), Erica Woods, Clementine, Pauline S</w:t>
            </w:r>
            <w:r w:rsidRPr="004A420B">
              <w:rPr>
                <w:rFonts w:ascii="Calibri" w:hAnsi="Calibri" w:cs="Calibri"/>
                <w:sz w:val="28"/>
                <w:szCs w:val="28"/>
              </w:rPr>
              <w:t>mith</w:t>
            </w:r>
          </w:p>
        </w:tc>
      </w:tr>
      <w:tr w:rsidR="00AB7483" w:rsidRPr="006234AF" w:rsidTr="006234AF">
        <w:trPr>
          <w:cantSplit/>
          <w:trHeight w:val="68"/>
        </w:trPr>
        <w:tc>
          <w:tcPr>
            <w:tcW w:w="2160" w:type="dxa"/>
            <w:tcBorders>
              <w:top w:val="nil"/>
            </w:tcBorders>
            <w:shd w:val="clear" w:color="auto" w:fill="BFBFBF"/>
            <w:vAlign w:val="center"/>
          </w:tcPr>
          <w:p w:rsidR="00AB7483" w:rsidRPr="006234AF" w:rsidRDefault="00AB7483" w:rsidP="00C66A1E">
            <w:pPr>
              <w:pStyle w:val="Heading1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6234AF">
              <w:rPr>
                <w:rFonts w:ascii="Calibri" w:hAnsi="Calibri" w:cs="Calibri"/>
                <w:sz w:val="28"/>
                <w:szCs w:val="28"/>
              </w:rPr>
              <w:t>IN ATTENDANCE</w:t>
            </w:r>
          </w:p>
        </w:tc>
        <w:tc>
          <w:tcPr>
            <w:tcW w:w="8306" w:type="dxa"/>
            <w:gridSpan w:val="2"/>
            <w:vAlign w:val="center"/>
          </w:tcPr>
          <w:p w:rsidR="00AB7483" w:rsidRPr="006234AF" w:rsidRDefault="004A420B" w:rsidP="006234A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Liz Jones, Jessica Draper</w:t>
            </w:r>
          </w:p>
        </w:tc>
      </w:tr>
    </w:tbl>
    <w:p w:rsidR="00AB7483" w:rsidRPr="006234AF" w:rsidRDefault="00AB7483" w:rsidP="00AB7483">
      <w:pPr>
        <w:rPr>
          <w:rFonts w:ascii="Calibri" w:hAnsi="Calibri" w:cs="Calibri"/>
          <w:color w:val="FFFFFF"/>
          <w:sz w:val="28"/>
          <w:szCs w:val="28"/>
        </w:rPr>
      </w:pPr>
      <w:r w:rsidRPr="006234AF">
        <w:rPr>
          <w:rFonts w:ascii="Calibri" w:hAnsi="Calibri" w:cs="Calibri"/>
          <w:b/>
          <w:color w:val="FFFFFF"/>
          <w:sz w:val="28"/>
          <w:szCs w:val="28"/>
        </w:rPr>
        <w:t>Agenda Item</w:t>
      </w:r>
    </w:p>
    <w:p w:rsidR="00EC2720" w:rsidRPr="00EC2720" w:rsidRDefault="00EC2720" w:rsidP="00EC272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EC2720">
        <w:rPr>
          <w:rFonts w:ascii="Arial" w:hAnsi="Arial" w:cs="Arial"/>
          <w:b/>
          <w:sz w:val="28"/>
          <w:szCs w:val="28"/>
        </w:rPr>
        <w:t>Welcome,</w:t>
      </w:r>
      <w:r w:rsidR="00F71AED">
        <w:rPr>
          <w:rFonts w:ascii="Arial" w:hAnsi="Arial" w:cs="Arial"/>
          <w:b/>
          <w:sz w:val="28"/>
          <w:szCs w:val="28"/>
        </w:rPr>
        <w:t xml:space="preserve"> Introductions, &amp; M</w:t>
      </w:r>
      <w:r w:rsidRPr="00EC2720">
        <w:rPr>
          <w:rFonts w:ascii="Arial" w:hAnsi="Arial" w:cs="Arial"/>
          <w:b/>
          <w:sz w:val="28"/>
          <w:szCs w:val="28"/>
        </w:rPr>
        <w:t xml:space="preserve">atters </w:t>
      </w:r>
      <w:r w:rsidR="00F71AED">
        <w:rPr>
          <w:rFonts w:ascii="Arial" w:hAnsi="Arial" w:cs="Arial"/>
          <w:b/>
          <w:sz w:val="28"/>
          <w:szCs w:val="28"/>
        </w:rPr>
        <w:t>Arising</w:t>
      </w:r>
    </w:p>
    <w:p w:rsidR="006E5B6A" w:rsidRPr="006E5B6A" w:rsidRDefault="006E5B6A" w:rsidP="006E5B6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EC2720" w:rsidRPr="00EC2720" w:rsidRDefault="00F71AED" w:rsidP="00EC272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 Mitchell – Presentation on ‘Live Well Age-Friendly Model’</w:t>
      </w:r>
    </w:p>
    <w:p w:rsidR="00F71AED" w:rsidRPr="00F71AED" w:rsidRDefault="00F71AED" w:rsidP="00F71AED">
      <w:pPr>
        <w:rPr>
          <w:rFonts w:ascii="Arial" w:hAnsi="Arial" w:cs="Arial"/>
          <w:sz w:val="28"/>
          <w:szCs w:val="28"/>
        </w:rPr>
      </w:pPr>
      <w:r w:rsidRPr="00F71AED">
        <w:rPr>
          <w:rFonts w:ascii="Arial" w:hAnsi="Arial" w:cs="Arial"/>
          <w:sz w:val="28"/>
          <w:szCs w:val="28"/>
        </w:rPr>
        <w:t>(</w:t>
      </w:r>
      <w:r w:rsidR="005305B8">
        <w:rPr>
          <w:rFonts w:ascii="Arial" w:hAnsi="Arial" w:cs="Arial"/>
          <w:sz w:val="28"/>
          <w:szCs w:val="28"/>
        </w:rPr>
        <w:t>Presentation slides attached</w:t>
      </w:r>
      <w:r w:rsidRPr="00F71AED">
        <w:rPr>
          <w:rFonts w:ascii="Arial" w:hAnsi="Arial" w:cs="Arial"/>
          <w:sz w:val="28"/>
          <w:szCs w:val="28"/>
        </w:rPr>
        <w:t>)</w:t>
      </w:r>
    </w:p>
    <w:p w:rsidR="00F71AED" w:rsidRDefault="005305B8" w:rsidP="00F71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Beth Mitchell from the Greater Manchester Ageing Hub, part of the Greater Manchester Combined Authority (GMCA),</w:t>
      </w:r>
      <w:r w:rsidR="00F71AED" w:rsidRPr="00F71AED">
        <w:rPr>
          <w:rFonts w:ascii="Arial" w:hAnsi="Arial" w:cs="Arial"/>
          <w:sz w:val="28"/>
          <w:szCs w:val="28"/>
        </w:rPr>
        <w:t xml:space="preserve"> presented on the Greater Manchester Live </w:t>
      </w:r>
      <w:r w:rsidR="003509DF">
        <w:rPr>
          <w:rFonts w:ascii="Arial" w:hAnsi="Arial" w:cs="Arial"/>
          <w:sz w:val="28"/>
          <w:szCs w:val="28"/>
        </w:rPr>
        <w:t>Well strategy. They discussed the ‘Live Well in Later Life’ blueprint to support the GM Live Well Ambition alongside Andy Burnham’s ‘Live Well Manifesto’ Commitments.</w:t>
      </w:r>
    </w:p>
    <w:p w:rsidR="003509DF" w:rsidRDefault="003509DF" w:rsidP="00F71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 Well’s Framework for Local Support:</w:t>
      </w:r>
    </w:p>
    <w:p w:rsidR="003509DF" w:rsidRDefault="003509DF" w:rsidP="003509DF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Live Well Centres – advice services and employment help </w:t>
      </w:r>
    </w:p>
    <w:p w:rsidR="003509DF" w:rsidRDefault="003509DF" w:rsidP="003509DF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 Well Spaces – community spaces for connection and support</w:t>
      </w:r>
    </w:p>
    <w:p w:rsidR="003509DF" w:rsidRDefault="003509DF" w:rsidP="003509DF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 Well Offers – support services</w:t>
      </w:r>
    </w:p>
    <w:p w:rsidR="003509DF" w:rsidRDefault="003509DF" w:rsidP="003509DF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Live Well Easy Access – digital inclusion </w:t>
      </w:r>
    </w:p>
    <w:p w:rsidR="003509DF" w:rsidRDefault="003509DF" w:rsidP="003509DF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 Well Workforce – training for those working in age-friendly spaces</w:t>
      </w:r>
    </w:p>
    <w:p w:rsidR="003509DF" w:rsidRPr="003509DF" w:rsidRDefault="003509DF" w:rsidP="003509DF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 Power – community voices heard in decision making processes</w:t>
      </w:r>
    </w:p>
    <w:p w:rsidR="00F71AED" w:rsidRPr="00F71AED" w:rsidRDefault="00F71AED" w:rsidP="00F71AED">
      <w:pPr>
        <w:rPr>
          <w:rFonts w:ascii="Arial" w:hAnsi="Arial" w:cs="Arial"/>
          <w:sz w:val="28"/>
          <w:szCs w:val="28"/>
        </w:rPr>
      </w:pPr>
    </w:p>
    <w:p w:rsidR="00577448" w:rsidRDefault="00F71AED" w:rsidP="00F71AED">
      <w:pPr>
        <w:rPr>
          <w:rFonts w:ascii="Arial" w:hAnsi="Arial" w:cs="Arial"/>
          <w:sz w:val="28"/>
          <w:szCs w:val="28"/>
        </w:rPr>
      </w:pPr>
      <w:r w:rsidRPr="00F71AED">
        <w:rPr>
          <w:rFonts w:ascii="Arial" w:hAnsi="Arial" w:cs="Arial"/>
          <w:sz w:val="28"/>
          <w:szCs w:val="28"/>
        </w:rPr>
        <w:t>The group discu</w:t>
      </w:r>
      <w:r w:rsidR="00662ED8">
        <w:rPr>
          <w:rFonts w:ascii="Arial" w:hAnsi="Arial" w:cs="Arial"/>
          <w:sz w:val="28"/>
          <w:szCs w:val="28"/>
        </w:rPr>
        <w:t>ssed the presentation and model and suggested areas where the Live well model could potentially improve things for older people</w:t>
      </w:r>
    </w:p>
    <w:p w:rsidR="00577448" w:rsidRDefault="00577448" w:rsidP="00577448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Housing Support</w:t>
      </w:r>
    </w:p>
    <w:p w:rsidR="00577448" w:rsidRPr="006C6510" w:rsidRDefault="00577448" w:rsidP="00BB0666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8"/>
          <w:szCs w:val="28"/>
        </w:rPr>
      </w:pPr>
      <w:r w:rsidRPr="00662ED8">
        <w:rPr>
          <w:rFonts w:ascii="Arial" w:hAnsi="Arial" w:cs="Arial"/>
          <w:sz w:val="28"/>
          <w:szCs w:val="28"/>
        </w:rPr>
        <w:t>Contractors and services taking advantage of older people through overpricing and unneeded services</w:t>
      </w:r>
      <w:r w:rsidR="00662ED8" w:rsidRPr="00662ED8">
        <w:rPr>
          <w:rFonts w:ascii="Arial" w:hAnsi="Arial" w:cs="Arial"/>
          <w:sz w:val="28"/>
          <w:szCs w:val="28"/>
        </w:rPr>
        <w:t xml:space="preserve">.  </w:t>
      </w:r>
      <w:r w:rsidRPr="00662ED8">
        <w:rPr>
          <w:rFonts w:ascii="Arial" w:hAnsi="Arial" w:cs="Arial"/>
          <w:sz w:val="28"/>
          <w:szCs w:val="28"/>
        </w:rPr>
        <w:t xml:space="preserve"> </w:t>
      </w:r>
      <w:r w:rsidR="00662ED8" w:rsidRPr="00662ED8">
        <w:rPr>
          <w:rFonts w:ascii="Arial" w:hAnsi="Arial" w:cs="Arial"/>
          <w:b/>
          <w:sz w:val="28"/>
          <w:szCs w:val="28"/>
        </w:rPr>
        <w:t>Could information about trusted traders be available at Live Well centres</w:t>
      </w:r>
      <w:r w:rsidR="00662ED8">
        <w:rPr>
          <w:rFonts w:ascii="Arial" w:hAnsi="Arial" w:cs="Arial"/>
          <w:sz w:val="28"/>
          <w:szCs w:val="28"/>
        </w:rPr>
        <w:t xml:space="preserve">. </w:t>
      </w:r>
      <w:r w:rsidR="00662ED8" w:rsidRPr="00662ED8">
        <w:rPr>
          <w:rFonts w:ascii="Arial" w:hAnsi="Arial" w:cs="Arial"/>
          <w:b/>
          <w:sz w:val="28"/>
          <w:szCs w:val="28"/>
        </w:rPr>
        <w:t>Would also need information about Fraud and Scams</w:t>
      </w:r>
      <w:r w:rsidR="00662ED8">
        <w:rPr>
          <w:rFonts w:ascii="Arial" w:hAnsi="Arial" w:cs="Arial"/>
          <w:sz w:val="28"/>
          <w:szCs w:val="28"/>
        </w:rPr>
        <w:t xml:space="preserve">. </w:t>
      </w:r>
      <w:r w:rsidR="00662ED8" w:rsidRPr="006C6510">
        <w:rPr>
          <w:rFonts w:ascii="Arial" w:hAnsi="Arial" w:cs="Arial"/>
          <w:b/>
          <w:sz w:val="28"/>
          <w:szCs w:val="28"/>
        </w:rPr>
        <w:t xml:space="preserve">Still a lack of information about housing related support across GM.  Live Well Centres need </w:t>
      </w:r>
      <w:r w:rsidR="00662ED8" w:rsidRPr="006C6510">
        <w:rPr>
          <w:rFonts w:ascii="Arial" w:hAnsi="Arial" w:cs="Arial"/>
          <w:b/>
          <w:sz w:val="28"/>
          <w:szCs w:val="28"/>
        </w:rPr>
        <w:lastRenderedPageBreak/>
        <w:t xml:space="preserve">to </w:t>
      </w:r>
      <w:r w:rsidRPr="006C6510">
        <w:rPr>
          <w:rFonts w:ascii="Arial" w:hAnsi="Arial" w:cs="Arial"/>
          <w:b/>
          <w:sz w:val="28"/>
          <w:szCs w:val="28"/>
        </w:rPr>
        <w:t>provide housing support and information/resources</w:t>
      </w:r>
      <w:r w:rsidR="00662ED8" w:rsidRPr="006C6510">
        <w:rPr>
          <w:rFonts w:ascii="Arial" w:hAnsi="Arial" w:cs="Arial"/>
          <w:b/>
          <w:sz w:val="28"/>
          <w:szCs w:val="28"/>
        </w:rPr>
        <w:t xml:space="preserve"> if people’s wellbeing is looked at holistically.</w:t>
      </w:r>
    </w:p>
    <w:p w:rsidR="00577448" w:rsidRDefault="00577448" w:rsidP="00577448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Fall Prevention Work</w:t>
      </w:r>
    </w:p>
    <w:p w:rsidR="00577448" w:rsidRDefault="00577448" w:rsidP="00577448">
      <w:pPr>
        <w:pStyle w:val="ListParagraph"/>
        <w:numPr>
          <w:ilvl w:val="1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Pavement repairs being rejected by local councils </w:t>
      </w:r>
    </w:p>
    <w:p w:rsidR="00577448" w:rsidRDefault="00662ED8" w:rsidP="00577448">
      <w:pPr>
        <w:pStyle w:val="ListParagraph"/>
        <w:numPr>
          <w:ilvl w:val="1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Suggestion for more</w:t>
      </w:r>
      <w:r w:rsidR="00577448">
        <w:rPr>
          <w:rFonts w:ascii="Arial" w:hAnsi="Arial" w:cs="Arial"/>
          <w:sz w:val="28"/>
          <w:szCs w:val="28"/>
        </w:rPr>
        <w:t xml:space="preserve"> walking audits </w:t>
      </w:r>
    </w:p>
    <w:p w:rsidR="00577448" w:rsidRDefault="00662ED8" w:rsidP="00577448">
      <w:pPr>
        <w:pStyle w:val="ListParagraph"/>
        <w:numPr>
          <w:ilvl w:val="1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Example provided by a member of </w:t>
      </w:r>
      <w:r w:rsidR="00577448">
        <w:rPr>
          <w:rFonts w:ascii="Arial" w:hAnsi="Arial" w:cs="Arial"/>
          <w:sz w:val="28"/>
          <w:szCs w:val="28"/>
        </w:rPr>
        <w:t>Fal</w:t>
      </w:r>
      <w:r>
        <w:rPr>
          <w:rFonts w:ascii="Arial" w:hAnsi="Arial" w:cs="Arial"/>
          <w:sz w:val="28"/>
          <w:szCs w:val="28"/>
        </w:rPr>
        <w:t>ls</w:t>
      </w:r>
      <w:r w:rsidR="00577448">
        <w:rPr>
          <w:rFonts w:ascii="Arial" w:hAnsi="Arial" w:cs="Arial"/>
          <w:sz w:val="28"/>
          <w:szCs w:val="28"/>
        </w:rPr>
        <w:t xml:space="preserve"> Prevention Team </w:t>
      </w:r>
      <w:r>
        <w:rPr>
          <w:rFonts w:ascii="Arial" w:hAnsi="Arial" w:cs="Arial"/>
          <w:sz w:val="28"/>
          <w:szCs w:val="28"/>
        </w:rPr>
        <w:t xml:space="preserve">rejecting someone for service, </w:t>
      </w:r>
      <w:r w:rsidR="00577448">
        <w:rPr>
          <w:rFonts w:ascii="Arial" w:hAnsi="Arial" w:cs="Arial"/>
          <w:sz w:val="28"/>
          <w:szCs w:val="28"/>
        </w:rPr>
        <w:t>not meet</w:t>
      </w:r>
      <w:r>
        <w:rPr>
          <w:rFonts w:ascii="Arial" w:hAnsi="Arial" w:cs="Arial"/>
          <w:sz w:val="28"/>
          <w:szCs w:val="28"/>
        </w:rPr>
        <w:t>ing</w:t>
      </w:r>
      <w:r w:rsidR="00577448">
        <w:rPr>
          <w:rFonts w:ascii="Arial" w:hAnsi="Arial" w:cs="Arial"/>
          <w:sz w:val="28"/>
          <w:szCs w:val="28"/>
        </w:rPr>
        <w:t xml:space="preserve"> the criteria</w:t>
      </w:r>
      <w:r>
        <w:rPr>
          <w:rFonts w:ascii="Arial" w:hAnsi="Arial" w:cs="Arial"/>
          <w:sz w:val="28"/>
          <w:szCs w:val="28"/>
        </w:rPr>
        <w:t>,</w:t>
      </w:r>
      <w:r w:rsidR="00577448">
        <w:rPr>
          <w:rFonts w:ascii="Arial" w:hAnsi="Arial" w:cs="Arial"/>
          <w:sz w:val="28"/>
          <w:szCs w:val="28"/>
        </w:rPr>
        <w:t xml:space="preserve"> despite repeated falling and active risks</w:t>
      </w:r>
      <w:r>
        <w:rPr>
          <w:rFonts w:ascii="Arial" w:hAnsi="Arial" w:cs="Arial"/>
          <w:sz w:val="28"/>
          <w:szCs w:val="28"/>
        </w:rPr>
        <w:t>.</w:t>
      </w:r>
    </w:p>
    <w:p w:rsidR="00577448" w:rsidRDefault="00577448" w:rsidP="00577448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Safety &amp; Crime Prevention</w:t>
      </w:r>
    </w:p>
    <w:p w:rsidR="00577448" w:rsidRDefault="00577448" w:rsidP="00577448">
      <w:pPr>
        <w:pStyle w:val="ListParagraph"/>
        <w:numPr>
          <w:ilvl w:val="1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Winter sees darker nights which makes older people more vulnerable</w:t>
      </w:r>
    </w:p>
    <w:p w:rsidR="00577448" w:rsidRDefault="00577448" w:rsidP="00577448">
      <w:pPr>
        <w:pStyle w:val="ListParagraph"/>
        <w:numPr>
          <w:ilvl w:val="1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Bolton is reducing streetlights by 30% illumination to save energy</w:t>
      </w:r>
      <w:r w:rsidR="00662ED8">
        <w:rPr>
          <w:rFonts w:ascii="Arial" w:hAnsi="Arial" w:cs="Arial"/>
          <w:sz w:val="28"/>
          <w:szCs w:val="28"/>
        </w:rPr>
        <w:t>.  Potentially other local authorities doing the same.</w:t>
      </w:r>
    </w:p>
    <w:p w:rsidR="00577448" w:rsidRDefault="00577448" w:rsidP="00577448">
      <w:pPr>
        <w:pStyle w:val="ListParagraph"/>
        <w:numPr>
          <w:ilvl w:val="1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Cars parking on pavements are blocking wheelchair access, forcing wheelchair users to ride in the road </w:t>
      </w:r>
    </w:p>
    <w:p w:rsidR="00577448" w:rsidRDefault="00577448" w:rsidP="00577448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Translation Services</w:t>
      </w:r>
    </w:p>
    <w:p w:rsidR="00577448" w:rsidRPr="006C6510" w:rsidRDefault="00577448" w:rsidP="00577448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8"/>
          <w:szCs w:val="28"/>
        </w:rPr>
      </w:pPr>
      <w:r w:rsidRPr="006C6510">
        <w:rPr>
          <w:rFonts w:ascii="Arial" w:hAnsi="Arial" w:cs="Arial"/>
          <w:b/>
          <w:sz w:val="28"/>
          <w:szCs w:val="28"/>
        </w:rPr>
        <w:t xml:space="preserve">Ethnic minorities </w:t>
      </w:r>
      <w:r w:rsidR="00662ED8" w:rsidRPr="006C6510">
        <w:rPr>
          <w:rFonts w:ascii="Arial" w:hAnsi="Arial" w:cs="Arial"/>
          <w:b/>
          <w:sz w:val="28"/>
          <w:szCs w:val="28"/>
        </w:rPr>
        <w:t xml:space="preserve">who do not speak English </w:t>
      </w:r>
      <w:r w:rsidRPr="006C6510">
        <w:rPr>
          <w:rFonts w:ascii="Arial" w:hAnsi="Arial" w:cs="Arial"/>
          <w:b/>
          <w:sz w:val="28"/>
          <w:szCs w:val="28"/>
        </w:rPr>
        <w:t xml:space="preserve">unable to access information </w:t>
      </w:r>
      <w:r w:rsidR="00662ED8" w:rsidRPr="006C6510">
        <w:rPr>
          <w:rFonts w:ascii="Arial" w:hAnsi="Arial" w:cs="Arial"/>
          <w:b/>
          <w:sz w:val="28"/>
          <w:szCs w:val="28"/>
        </w:rPr>
        <w:t xml:space="preserve">and services </w:t>
      </w:r>
      <w:r w:rsidRPr="006C6510">
        <w:rPr>
          <w:rFonts w:ascii="Arial" w:hAnsi="Arial" w:cs="Arial"/>
          <w:b/>
          <w:sz w:val="28"/>
          <w:szCs w:val="28"/>
        </w:rPr>
        <w:t>if it is only presented in one language</w:t>
      </w:r>
    </w:p>
    <w:p w:rsidR="00577448" w:rsidRDefault="00577448" w:rsidP="00577448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Loneliness &amp; Social Isolation</w:t>
      </w:r>
    </w:p>
    <w:p w:rsidR="00577448" w:rsidRPr="006C6510" w:rsidRDefault="00577448" w:rsidP="00577448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8"/>
          <w:szCs w:val="28"/>
        </w:rPr>
      </w:pPr>
      <w:r w:rsidRPr="006C6510">
        <w:rPr>
          <w:rFonts w:ascii="Arial" w:hAnsi="Arial" w:cs="Arial"/>
          <w:b/>
          <w:sz w:val="28"/>
          <w:szCs w:val="28"/>
        </w:rPr>
        <w:t>It is difficult to reach the most socially isolated people and offer them support, as well as low uptake of available support</w:t>
      </w:r>
      <w:r w:rsidR="00662ED8" w:rsidRPr="006C6510">
        <w:rPr>
          <w:rFonts w:ascii="Arial" w:hAnsi="Arial" w:cs="Arial"/>
          <w:b/>
          <w:sz w:val="28"/>
          <w:szCs w:val="28"/>
        </w:rPr>
        <w:t xml:space="preserve"> – Live well needs to have a specific strategy for reaching the most socially isolated.</w:t>
      </w:r>
    </w:p>
    <w:p w:rsidR="00577448" w:rsidRPr="00577448" w:rsidRDefault="00577448" w:rsidP="00577448">
      <w:pPr>
        <w:ind w:left="1080"/>
        <w:rPr>
          <w:rFonts w:ascii="Arial" w:hAnsi="Arial" w:cs="Arial"/>
          <w:sz w:val="28"/>
          <w:szCs w:val="28"/>
        </w:rPr>
      </w:pPr>
    </w:p>
    <w:p w:rsidR="006E5B6A" w:rsidRPr="006E5B6A" w:rsidRDefault="00F71AED" w:rsidP="006E5B6A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Preventative Health Measures – Group Discussion</w:t>
      </w:r>
    </w:p>
    <w:p w:rsidR="00EC2720" w:rsidRPr="00EC2720" w:rsidRDefault="00EC2720" w:rsidP="00EC2720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581F17" w:rsidRDefault="00581F17" w:rsidP="00581F17">
      <w:pPr>
        <w:pStyle w:val="ListParagraph"/>
        <w:ind w:left="0"/>
        <w:rPr>
          <w:rFonts w:ascii="Arial" w:hAnsi="Arial" w:cs="Arial"/>
          <w:i/>
          <w:sz w:val="28"/>
          <w:szCs w:val="28"/>
        </w:rPr>
      </w:pPr>
      <w:r w:rsidRPr="00581F17">
        <w:rPr>
          <w:rFonts w:ascii="Arial" w:hAnsi="Arial" w:cs="Arial"/>
          <w:i/>
          <w:sz w:val="28"/>
          <w:szCs w:val="28"/>
        </w:rPr>
        <w:t>What does great everyday support look like for older people and other marginalised communities in GM?</w:t>
      </w:r>
    </w:p>
    <w:p w:rsidR="005305B8" w:rsidRPr="0026204A" w:rsidRDefault="005305B8" w:rsidP="0026204A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Translated support services for ethnic minorities and disabled people</w:t>
      </w:r>
      <w:r w:rsidR="00F32744">
        <w:rPr>
          <w:rFonts w:ascii="Arial" w:hAnsi="Arial" w:cs="Arial"/>
          <w:sz w:val="28"/>
          <w:szCs w:val="28"/>
        </w:rPr>
        <w:t xml:space="preserve"> (including webpage translations)</w:t>
      </w:r>
      <w:r w:rsidR="0026204A" w:rsidRPr="0026204A">
        <w:rPr>
          <w:rFonts w:ascii="Arial" w:hAnsi="Arial" w:cs="Arial"/>
          <w:b/>
          <w:sz w:val="28"/>
          <w:szCs w:val="28"/>
        </w:rPr>
        <w:t xml:space="preserve"> Could Live Well and other statutory services’ websites have a tool to </w:t>
      </w:r>
      <w:r w:rsidR="0026204A">
        <w:rPr>
          <w:rFonts w:ascii="Arial" w:hAnsi="Arial" w:cs="Arial"/>
          <w:b/>
          <w:sz w:val="28"/>
          <w:szCs w:val="28"/>
        </w:rPr>
        <w:t xml:space="preserve">easily </w:t>
      </w:r>
      <w:r w:rsidR="0026204A" w:rsidRPr="0026204A">
        <w:rPr>
          <w:rFonts w:ascii="Arial" w:hAnsi="Arial" w:cs="Arial"/>
          <w:b/>
          <w:sz w:val="28"/>
          <w:szCs w:val="28"/>
        </w:rPr>
        <w:t>translate content into other languages t</w:t>
      </w:r>
      <w:r w:rsidR="0026204A">
        <w:rPr>
          <w:rFonts w:ascii="Arial" w:hAnsi="Arial" w:cs="Arial"/>
          <w:b/>
          <w:sz w:val="28"/>
          <w:szCs w:val="28"/>
        </w:rPr>
        <w:t>o make services more accessible?</w:t>
      </w:r>
    </w:p>
    <w:p w:rsidR="00F32744" w:rsidRPr="006C6510" w:rsidRDefault="00F32744" w:rsidP="005305B8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6C6510">
        <w:rPr>
          <w:rFonts w:ascii="Arial" w:hAnsi="Arial" w:cs="Arial"/>
          <w:b/>
          <w:sz w:val="28"/>
          <w:szCs w:val="28"/>
        </w:rPr>
        <w:t xml:space="preserve">Loneliness &amp; </w:t>
      </w:r>
      <w:r w:rsidR="0026204A" w:rsidRPr="006C6510">
        <w:rPr>
          <w:rFonts w:ascii="Arial" w:hAnsi="Arial" w:cs="Arial"/>
          <w:b/>
          <w:sz w:val="28"/>
          <w:szCs w:val="28"/>
        </w:rPr>
        <w:t>social</w:t>
      </w:r>
      <w:r w:rsidRPr="006C6510">
        <w:rPr>
          <w:rFonts w:ascii="Arial" w:hAnsi="Arial" w:cs="Arial"/>
          <w:b/>
          <w:sz w:val="28"/>
          <w:szCs w:val="28"/>
        </w:rPr>
        <w:t xml:space="preserve"> isolation – befriending schemes for older people</w:t>
      </w:r>
    </w:p>
    <w:p w:rsidR="00F32744" w:rsidRPr="006C6510" w:rsidRDefault="00F32744" w:rsidP="005305B8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6C6510">
        <w:rPr>
          <w:rFonts w:ascii="Arial" w:hAnsi="Arial" w:cs="Arial"/>
          <w:b/>
          <w:sz w:val="28"/>
          <w:szCs w:val="28"/>
        </w:rPr>
        <w:t>Inclusion for people who are not online/ in digital spaces (including non-digital advertisements for in-person support)</w:t>
      </w:r>
    </w:p>
    <w:p w:rsidR="00581F17" w:rsidRPr="00581F17" w:rsidRDefault="00581F17" w:rsidP="00581F17">
      <w:pPr>
        <w:pStyle w:val="ListParagraph"/>
        <w:ind w:left="0"/>
        <w:rPr>
          <w:rFonts w:ascii="Arial" w:hAnsi="Arial" w:cs="Arial"/>
          <w:i/>
          <w:sz w:val="28"/>
          <w:szCs w:val="28"/>
        </w:rPr>
      </w:pPr>
    </w:p>
    <w:p w:rsidR="00581F17" w:rsidRDefault="00581F17" w:rsidP="00581F17">
      <w:pPr>
        <w:pStyle w:val="ListParagraph"/>
        <w:ind w:left="0"/>
        <w:rPr>
          <w:rFonts w:ascii="Arial" w:hAnsi="Arial" w:cs="Arial"/>
          <w:i/>
          <w:sz w:val="28"/>
          <w:szCs w:val="28"/>
        </w:rPr>
      </w:pPr>
      <w:r w:rsidRPr="00581F17">
        <w:rPr>
          <w:rFonts w:ascii="Arial" w:hAnsi="Arial" w:cs="Arial"/>
          <w:i/>
          <w:sz w:val="28"/>
          <w:szCs w:val="28"/>
        </w:rPr>
        <w:t>What would it take for Live Well to have the biggest impact for older people in GM?</w:t>
      </w:r>
    </w:p>
    <w:p w:rsidR="00F32744" w:rsidRPr="00F32744" w:rsidRDefault="00F32744" w:rsidP="00F32744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8"/>
          <w:szCs w:val="28"/>
        </w:rPr>
      </w:pPr>
      <w:r w:rsidRPr="006C6510">
        <w:rPr>
          <w:rFonts w:ascii="Arial" w:hAnsi="Arial" w:cs="Arial"/>
          <w:b/>
          <w:sz w:val="28"/>
          <w:szCs w:val="28"/>
        </w:rPr>
        <w:t>Getting people connected with social groups &amp; volunteering opportunities</w:t>
      </w:r>
      <w:r>
        <w:rPr>
          <w:rFonts w:ascii="Arial" w:hAnsi="Arial" w:cs="Arial"/>
          <w:sz w:val="28"/>
          <w:szCs w:val="28"/>
        </w:rPr>
        <w:t xml:space="preserve"> to create wider communities of older people</w:t>
      </w:r>
    </w:p>
    <w:p w:rsidR="00F32744" w:rsidRPr="006C6510" w:rsidRDefault="005E2D03" w:rsidP="00F32744">
      <w:pPr>
        <w:pStyle w:val="ListParagraph"/>
        <w:numPr>
          <w:ilvl w:val="0"/>
          <w:numId w:val="15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Live Well in collaboration with </w:t>
      </w:r>
      <w:r w:rsidR="00F32744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epartment of </w:t>
      </w:r>
      <w:r w:rsidR="00F32744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ork &amp; </w:t>
      </w:r>
      <w:r w:rsidR="00F32744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ensions (DWP)</w:t>
      </w:r>
      <w:r w:rsidR="00F327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662ED8">
        <w:rPr>
          <w:rFonts w:ascii="Arial" w:hAnsi="Arial" w:cs="Arial"/>
          <w:sz w:val="28"/>
          <w:szCs w:val="28"/>
        </w:rPr>
        <w:t xml:space="preserve"> Concern that this would mean initiatives designed to get people back to work would be prioritised as linked to targets.  Need to have equal resource for </w:t>
      </w:r>
      <w:r w:rsidR="00662ED8">
        <w:rPr>
          <w:rFonts w:ascii="Arial" w:hAnsi="Arial" w:cs="Arial"/>
          <w:sz w:val="28"/>
          <w:szCs w:val="28"/>
        </w:rPr>
        <w:lastRenderedPageBreak/>
        <w:t>other support without associated targets/outcomes</w:t>
      </w:r>
      <w:r w:rsidR="006C6510">
        <w:rPr>
          <w:rFonts w:ascii="Arial" w:hAnsi="Arial" w:cs="Arial"/>
          <w:sz w:val="28"/>
          <w:szCs w:val="28"/>
        </w:rPr>
        <w:t>.</w:t>
      </w:r>
      <w:r w:rsidR="00F32744">
        <w:rPr>
          <w:rFonts w:ascii="Arial" w:hAnsi="Arial" w:cs="Arial"/>
          <w:sz w:val="28"/>
          <w:szCs w:val="28"/>
        </w:rPr>
        <w:t xml:space="preserve"> </w:t>
      </w:r>
      <w:r w:rsidRPr="006C6510">
        <w:rPr>
          <w:rFonts w:ascii="Arial" w:hAnsi="Arial" w:cs="Arial"/>
          <w:b/>
          <w:sz w:val="28"/>
          <w:szCs w:val="28"/>
        </w:rPr>
        <w:t xml:space="preserve">Live Well Centres should not </w:t>
      </w:r>
      <w:r w:rsidR="006C6510" w:rsidRPr="006C6510">
        <w:rPr>
          <w:rFonts w:ascii="Arial" w:hAnsi="Arial" w:cs="Arial"/>
          <w:b/>
          <w:sz w:val="28"/>
          <w:szCs w:val="28"/>
        </w:rPr>
        <w:t xml:space="preserve">just </w:t>
      </w:r>
      <w:r w:rsidRPr="006C6510">
        <w:rPr>
          <w:rFonts w:ascii="Arial" w:hAnsi="Arial" w:cs="Arial"/>
          <w:b/>
          <w:sz w:val="28"/>
          <w:szCs w:val="28"/>
        </w:rPr>
        <w:t>prioritise ‘get back into work’ initiatives &amp; targets</w:t>
      </w:r>
      <w:r w:rsidR="006C6510" w:rsidRPr="006C6510">
        <w:rPr>
          <w:rFonts w:ascii="Arial" w:hAnsi="Arial" w:cs="Arial"/>
          <w:b/>
          <w:sz w:val="28"/>
          <w:szCs w:val="28"/>
        </w:rPr>
        <w:t>.</w:t>
      </w:r>
      <w:r w:rsidRPr="006C6510">
        <w:rPr>
          <w:rFonts w:ascii="Arial" w:hAnsi="Arial" w:cs="Arial"/>
          <w:b/>
          <w:sz w:val="28"/>
          <w:szCs w:val="28"/>
        </w:rPr>
        <w:t xml:space="preserve"> </w:t>
      </w:r>
    </w:p>
    <w:p w:rsidR="00662ED8" w:rsidRPr="006C6510" w:rsidRDefault="00577448" w:rsidP="00662ED8">
      <w:pPr>
        <w:pStyle w:val="ListParagraph"/>
        <w:numPr>
          <w:ilvl w:val="0"/>
          <w:numId w:val="15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Subsidised Gym memberships</w:t>
      </w:r>
      <w:r w:rsidR="005E2D03">
        <w:rPr>
          <w:rFonts w:ascii="Arial" w:hAnsi="Arial" w:cs="Arial"/>
          <w:sz w:val="28"/>
          <w:szCs w:val="28"/>
        </w:rPr>
        <w:t xml:space="preserve"> – active lives reduce risks of mental &amp; physical health problems</w:t>
      </w:r>
      <w:r w:rsidR="0026204A">
        <w:rPr>
          <w:rFonts w:ascii="Arial" w:hAnsi="Arial" w:cs="Arial"/>
          <w:sz w:val="28"/>
          <w:szCs w:val="28"/>
        </w:rPr>
        <w:t xml:space="preserve">.  </w:t>
      </w:r>
      <w:r w:rsidR="006C6510" w:rsidRPr="006C6510">
        <w:rPr>
          <w:rFonts w:ascii="Arial" w:hAnsi="Arial" w:cs="Arial"/>
          <w:b/>
          <w:sz w:val="28"/>
          <w:szCs w:val="28"/>
        </w:rPr>
        <w:t>Physical activity needs to have a place within Live Well services.</w:t>
      </w:r>
    </w:p>
    <w:p w:rsidR="00662ED8" w:rsidRPr="006C6510" w:rsidRDefault="00662ED8" w:rsidP="00662ED8">
      <w:pPr>
        <w:pStyle w:val="ListParagraph"/>
        <w:numPr>
          <w:ilvl w:val="0"/>
          <w:numId w:val="15"/>
        </w:numPr>
        <w:rPr>
          <w:rFonts w:ascii="Arial" w:hAnsi="Arial" w:cs="Arial"/>
          <w:b/>
          <w:i/>
          <w:sz w:val="28"/>
          <w:szCs w:val="28"/>
        </w:rPr>
      </w:pPr>
      <w:r w:rsidRPr="006C6510">
        <w:rPr>
          <w:rFonts w:ascii="Arial" w:hAnsi="Arial" w:cs="Arial"/>
          <w:b/>
          <w:sz w:val="28"/>
          <w:szCs w:val="28"/>
        </w:rPr>
        <w:t>There needs to be some kind of local authority presence/link at live well centres so issues where local authority has responsibility can be dealt with.</w:t>
      </w:r>
    </w:p>
    <w:p w:rsidR="00662ED8" w:rsidRPr="00581F17" w:rsidRDefault="00662ED8" w:rsidP="00662ED8">
      <w:pPr>
        <w:pStyle w:val="ListParagraph"/>
        <w:rPr>
          <w:rFonts w:ascii="Arial" w:hAnsi="Arial" w:cs="Arial"/>
          <w:i/>
          <w:sz w:val="28"/>
          <w:szCs w:val="28"/>
        </w:rPr>
      </w:pPr>
    </w:p>
    <w:p w:rsidR="00581F17" w:rsidRDefault="00581F17" w:rsidP="00581F17">
      <w:pPr>
        <w:pStyle w:val="ListParagraph"/>
        <w:ind w:left="0"/>
        <w:rPr>
          <w:rFonts w:ascii="Arial" w:hAnsi="Arial" w:cs="Arial"/>
          <w:i/>
          <w:sz w:val="28"/>
          <w:szCs w:val="28"/>
        </w:rPr>
      </w:pPr>
    </w:p>
    <w:p w:rsidR="00581F17" w:rsidRDefault="00581F17" w:rsidP="00581F17">
      <w:pPr>
        <w:pStyle w:val="ListParagraph"/>
        <w:ind w:left="0"/>
        <w:rPr>
          <w:rFonts w:ascii="Arial" w:hAnsi="Arial" w:cs="Arial"/>
          <w:i/>
          <w:sz w:val="28"/>
          <w:szCs w:val="28"/>
        </w:rPr>
      </w:pPr>
      <w:r w:rsidRPr="00581F17">
        <w:rPr>
          <w:rFonts w:ascii="Arial" w:hAnsi="Arial" w:cs="Arial"/>
          <w:i/>
          <w:sz w:val="28"/>
          <w:szCs w:val="28"/>
        </w:rPr>
        <w:t>What do we need to do more of? What’s getting in the way or needs to change?</w:t>
      </w:r>
    </w:p>
    <w:p w:rsidR="00EA3CEA" w:rsidRPr="00EA3CEA" w:rsidRDefault="00EA3CEA" w:rsidP="00EA3CEA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meal deliveries to older people’s homes</w:t>
      </w:r>
    </w:p>
    <w:p w:rsidR="00EA3CEA" w:rsidRPr="00EA3CEA" w:rsidRDefault="00EA3CEA" w:rsidP="00EA3CEA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More benches </w:t>
      </w:r>
      <w:r w:rsidR="00662ED8">
        <w:rPr>
          <w:rFonts w:ascii="Arial" w:hAnsi="Arial" w:cs="Arial"/>
          <w:sz w:val="28"/>
          <w:szCs w:val="28"/>
        </w:rPr>
        <w:t>– Blue Badge criteria requires that people need to sit down every 200 metres.</w:t>
      </w:r>
    </w:p>
    <w:p w:rsidR="00EA3CEA" w:rsidRPr="00EA3CEA" w:rsidRDefault="00EA3CEA" w:rsidP="00EA3CEA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Older People’s Travel Pass 9am restriction – prohibiting older people from working</w:t>
      </w:r>
      <w:r w:rsidR="00662ED8">
        <w:rPr>
          <w:rFonts w:ascii="Arial" w:hAnsi="Arial" w:cs="Arial"/>
          <w:sz w:val="28"/>
          <w:szCs w:val="28"/>
        </w:rPr>
        <w:t>.</w:t>
      </w:r>
    </w:p>
    <w:p w:rsidR="00EA3CEA" w:rsidRDefault="00662ED8" w:rsidP="00EA3CEA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opportunities needed for local councils to work together and share</w:t>
      </w:r>
      <w:r w:rsidR="0026204A">
        <w:rPr>
          <w:rFonts w:ascii="Arial" w:hAnsi="Arial" w:cs="Arial"/>
          <w:sz w:val="28"/>
          <w:szCs w:val="28"/>
        </w:rPr>
        <w:t xml:space="preserve"> best practice</w:t>
      </w:r>
    </w:p>
    <w:p w:rsidR="00581F17" w:rsidRPr="00581F17" w:rsidRDefault="00581F17" w:rsidP="00581F17">
      <w:pPr>
        <w:pStyle w:val="ListParagraph"/>
        <w:ind w:left="0"/>
        <w:rPr>
          <w:rFonts w:ascii="Arial" w:hAnsi="Arial" w:cs="Arial"/>
          <w:i/>
          <w:sz w:val="28"/>
          <w:szCs w:val="28"/>
        </w:rPr>
      </w:pPr>
    </w:p>
    <w:p w:rsidR="00EC2720" w:rsidRDefault="00581F17" w:rsidP="00581F17">
      <w:pPr>
        <w:pStyle w:val="ListParagraph"/>
        <w:ind w:left="0"/>
        <w:rPr>
          <w:rFonts w:ascii="Arial" w:hAnsi="Arial" w:cs="Arial"/>
          <w:i/>
          <w:sz w:val="28"/>
          <w:szCs w:val="28"/>
        </w:rPr>
      </w:pPr>
      <w:r w:rsidRPr="00581F17">
        <w:rPr>
          <w:rFonts w:ascii="Arial" w:hAnsi="Arial" w:cs="Arial"/>
          <w:i/>
          <w:sz w:val="28"/>
          <w:szCs w:val="28"/>
        </w:rPr>
        <w:t>How can ensure that people with lived experience, particularly from marginalised communities, continue to be able to influence and have impact in the way Live Well is developed and delivered?</w:t>
      </w:r>
    </w:p>
    <w:p w:rsidR="00EA3CEA" w:rsidRPr="006C6510" w:rsidRDefault="00EA3CEA" w:rsidP="00EA3CE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8"/>
          <w:szCs w:val="28"/>
        </w:rPr>
      </w:pPr>
      <w:r w:rsidRPr="006C6510">
        <w:rPr>
          <w:rFonts w:ascii="Arial" w:hAnsi="Arial" w:cs="Arial"/>
          <w:b/>
          <w:sz w:val="28"/>
          <w:szCs w:val="28"/>
        </w:rPr>
        <w:t xml:space="preserve">Intersectional work </w:t>
      </w:r>
      <w:r w:rsidR="001A48F4" w:rsidRPr="006C6510">
        <w:rPr>
          <w:rFonts w:ascii="Arial" w:hAnsi="Arial" w:cs="Arial"/>
          <w:b/>
          <w:sz w:val="28"/>
          <w:szCs w:val="28"/>
        </w:rPr>
        <w:t xml:space="preserve">to be inclusive of </w:t>
      </w:r>
      <w:r w:rsidRPr="006C6510">
        <w:rPr>
          <w:rFonts w:ascii="Arial" w:hAnsi="Arial" w:cs="Arial"/>
          <w:b/>
          <w:sz w:val="28"/>
          <w:szCs w:val="28"/>
        </w:rPr>
        <w:t>marginalised groups</w:t>
      </w:r>
      <w:r w:rsidR="00662ED8" w:rsidRPr="006C6510">
        <w:rPr>
          <w:rFonts w:ascii="Arial" w:hAnsi="Arial" w:cs="Arial"/>
          <w:b/>
          <w:sz w:val="28"/>
          <w:szCs w:val="28"/>
        </w:rPr>
        <w:t>, including</w:t>
      </w:r>
      <w:r w:rsidR="001A48F4" w:rsidRPr="006C6510">
        <w:rPr>
          <w:rFonts w:ascii="Arial" w:hAnsi="Arial" w:cs="Arial"/>
          <w:b/>
          <w:sz w:val="28"/>
          <w:szCs w:val="28"/>
        </w:rPr>
        <w:t xml:space="preserve"> LGBT+ representation and trans</w:t>
      </w:r>
      <w:r w:rsidR="008D7C2A" w:rsidRPr="006C6510">
        <w:rPr>
          <w:rFonts w:ascii="Arial" w:hAnsi="Arial" w:cs="Arial"/>
          <w:b/>
          <w:sz w:val="28"/>
          <w:szCs w:val="28"/>
        </w:rPr>
        <w:t>gender</w:t>
      </w:r>
      <w:r w:rsidR="001A48F4" w:rsidRPr="006C6510">
        <w:rPr>
          <w:rFonts w:ascii="Arial" w:hAnsi="Arial" w:cs="Arial"/>
          <w:b/>
          <w:sz w:val="28"/>
          <w:szCs w:val="28"/>
        </w:rPr>
        <w:t xml:space="preserve"> inclusion</w:t>
      </w:r>
      <w:r w:rsidR="008D7C2A" w:rsidRPr="006C6510">
        <w:rPr>
          <w:rFonts w:ascii="Arial" w:hAnsi="Arial" w:cs="Arial"/>
          <w:b/>
          <w:sz w:val="28"/>
          <w:szCs w:val="28"/>
        </w:rPr>
        <w:t xml:space="preserve"> in older people</w:t>
      </w:r>
    </w:p>
    <w:p w:rsidR="00EC2720" w:rsidRPr="00EC2720" w:rsidRDefault="00EC2720" w:rsidP="00EC2720">
      <w:pPr>
        <w:rPr>
          <w:rFonts w:ascii="Arial" w:hAnsi="Arial" w:cs="Arial"/>
          <w:b/>
          <w:sz w:val="28"/>
          <w:szCs w:val="28"/>
        </w:rPr>
      </w:pPr>
    </w:p>
    <w:p w:rsidR="004D0E17" w:rsidRPr="001A48F4" w:rsidRDefault="006E5B6A" w:rsidP="001A48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6E5B6A">
        <w:rPr>
          <w:rFonts w:ascii="Arial" w:hAnsi="Arial" w:cs="Arial"/>
          <w:b/>
          <w:sz w:val="28"/>
          <w:szCs w:val="28"/>
        </w:rPr>
        <w:t>Next meeting:</w:t>
      </w:r>
      <w:r w:rsidR="005305B8">
        <w:rPr>
          <w:rFonts w:ascii="Arial" w:hAnsi="Arial" w:cs="Arial"/>
          <w:b/>
          <w:sz w:val="28"/>
          <w:szCs w:val="28"/>
        </w:rPr>
        <w:t xml:space="preserve"> 28</w:t>
      </w:r>
      <w:r w:rsidR="005305B8" w:rsidRPr="005305B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305B8">
        <w:rPr>
          <w:rFonts w:ascii="Arial" w:hAnsi="Arial" w:cs="Arial"/>
          <w:b/>
          <w:sz w:val="28"/>
          <w:szCs w:val="28"/>
        </w:rPr>
        <w:t xml:space="preserve"> January 2025</w:t>
      </w:r>
      <w:r w:rsidR="00096422">
        <w:rPr>
          <w:rFonts w:ascii="Arial" w:hAnsi="Arial" w:cs="Arial"/>
          <w:b/>
          <w:sz w:val="28"/>
          <w:szCs w:val="28"/>
        </w:rPr>
        <w:t xml:space="preserve"> (Cancelled)</w:t>
      </w:r>
      <w:bookmarkStart w:id="0" w:name="_GoBack"/>
      <w:bookmarkEnd w:id="0"/>
    </w:p>
    <w:sectPr w:rsidR="004D0E17" w:rsidRPr="001A48F4" w:rsidSect="00AB7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6DD"/>
    <w:multiLevelType w:val="hybridMultilevel"/>
    <w:tmpl w:val="8BC0B6C2"/>
    <w:lvl w:ilvl="0" w:tplc="E594F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6B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24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C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1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CE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8710B"/>
    <w:multiLevelType w:val="hybridMultilevel"/>
    <w:tmpl w:val="2654D45C"/>
    <w:lvl w:ilvl="0" w:tplc="8F52E93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74BF"/>
    <w:multiLevelType w:val="hybridMultilevel"/>
    <w:tmpl w:val="2DD2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D89"/>
    <w:multiLevelType w:val="hybridMultilevel"/>
    <w:tmpl w:val="3D0EA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358A"/>
    <w:multiLevelType w:val="hybridMultilevel"/>
    <w:tmpl w:val="08A03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2D47"/>
    <w:multiLevelType w:val="hybridMultilevel"/>
    <w:tmpl w:val="152A68AC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17E26EA4"/>
    <w:multiLevelType w:val="hybridMultilevel"/>
    <w:tmpl w:val="CE86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4057"/>
    <w:multiLevelType w:val="hybridMultilevel"/>
    <w:tmpl w:val="1CA6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A4E"/>
    <w:multiLevelType w:val="hybridMultilevel"/>
    <w:tmpl w:val="6C02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698D"/>
    <w:multiLevelType w:val="hybridMultilevel"/>
    <w:tmpl w:val="28C0C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97FB3"/>
    <w:multiLevelType w:val="hybridMultilevel"/>
    <w:tmpl w:val="71A8A094"/>
    <w:lvl w:ilvl="0" w:tplc="C0DAE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07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6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E4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23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6C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0E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AF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64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072440"/>
    <w:multiLevelType w:val="hybridMultilevel"/>
    <w:tmpl w:val="61A8E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3A2B"/>
    <w:multiLevelType w:val="hybridMultilevel"/>
    <w:tmpl w:val="FD50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D3E87"/>
    <w:multiLevelType w:val="hybridMultilevel"/>
    <w:tmpl w:val="E230D96E"/>
    <w:lvl w:ilvl="0" w:tplc="EB8A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A2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48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A2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6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CA02C8"/>
    <w:multiLevelType w:val="hybridMultilevel"/>
    <w:tmpl w:val="23CE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739E9"/>
    <w:multiLevelType w:val="hybridMultilevel"/>
    <w:tmpl w:val="BA14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29D1"/>
    <w:multiLevelType w:val="hybridMultilevel"/>
    <w:tmpl w:val="E3166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F17BD"/>
    <w:multiLevelType w:val="hybridMultilevel"/>
    <w:tmpl w:val="6762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897"/>
    <w:multiLevelType w:val="hybridMultilevel"/>
    <w:tmpl w:val="1A44E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7"/>
  </w:num>
  <w:num w:numId="7">
    <w:abstractNumId w:val="13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6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0"/>
    <w:rsid w:val="00000033"/>
    <w:rsid w:val="00036D07"/>
    <w:rsid w:val="0003781E"/>
    <w:rsid w:val="00046FF0"/>
    <w:rsid w:val="00051557"/>
    <w:rsid w:val="00063E34"/>
    <w:rsid w:val="0007156C"/>
    <w:rsid w:val="00096422"/>
    <w:rsid w:val="000C4202"/>
    <w:rsid w:val="000C6FDE"/>
    <w:rsid w:val="000D038B"/>
    <w:rsid w:val="000D34F9"/>
    <w:rsid w:val="00107D96"/>
    <w:rsid w:val="00111470"/>
    <w:rsid w:val="00111590"/>
    <w:rsid w:val="00113DBE"/>
    <w:rsid w:val="00117F51"/>
    <w:rsid w:val="00152F84"/>
    <w:rsid w:val="001557E2"/>
    <w:rsid w:val="001574B7"/>
    <w:rsid w:val="001629DE"/>
    <w:rsid w:val="00184310"/>
    <w:rsid w:val="001965D9"/>
    <w:rsid w:val="001A48F4"/>
    <w:rsid w:val="001A7A59"/>
    <w:rsid w:val="001B288F"/>
    <w:rsid w:val="001B5557"/>
    <w:rsid w:val="001B76CB"/>
    <w:rsid w:val="001C591A"/>
    <w:rsid w:val="001D5100"/>
    <w:rsid w:val="001D7643"/>
    <w:rsid w:val="001E7A34"/>
    <w:rsid w:val="001F2B60"/>
    <w:rsid w:val="0020466D"/>
    <w:rsid w:val="00207841"/>
    <w:rsid w:val="00211932"/>
    <w:rsid w:val="0021219F"/>
    <w:rsid w:val="00222602"/>
    <w:rsid w:val="00232D70"/>
    <w:rsid w:val="0024219E"/>
    <w:rsid w:val="0026204A"/>
    <w:rsid w:val="00267D88"/>
    <w:rsid w:val="00270516"/>
    <w:rsid w:val="00275D57"/>
    <w:rsid w:val="0028687D"/>
    <w:rsid w:val="002904AD"/>
    <w:rsid w:val="00295036"/>
    <w:rsid w:val="00295799"/>
    <w:rsid w:val="002B6775"/>
    <w:rsid w:val="002D0EC6"/>
    <w:rsid w:val="002E3FD3"/>
    <w:rsid w:val="002E5476"/>
    <w:rsid w:val="002E72E7"/>
    <w:rsid w:val="00300555"/>
    <w:rsid w:val="0030457E"/>
    <w:rsid w:val="003261EF"/>
    <w:rsid w:val="00326C11"/>
    <w:rsid w:val="0033159D"/>
    <w:rsid w:val="003509DF"/>
    <w:rsid w:val="00360F5F"/>
    <w:rsid w:val="003718C5"/>
    <w:rsid w:val="003A0A35"/>
    <w:rsid w:val="003C07C0"/>
    <w:rsid w:val="003D483A"/>
    <w:rsid w:val="003E6769"/>
    <w:rsid w:val="003E6AD4"/>
    <w:rsid w:val="003F24F0"/>
    <w:rsid w:val="00405E63"/>
    <w:rsid w:val="00420FB8"/>
    <w:rsid w:val="00421912"/>
    <w:rsid w:val="00422F3B"/>
    <w:rsid w:val="00430EA1"/>
    <w:rsid w:val="00432709"/>
    <w:rsid w:val="00445597"/>
    <w:rsid w:val="00447AA2"/>
    <w:rsid w:val="00464A61"/>
    <w:rsid w:val="00473D62"/>
    <w:rsid w:val="0047604C"/>
    <w:rsid w:val="004866F9"/>
    <w:rsid w:val="004933D4"/>
    <w:rsid w:val="004A420B"/>
    <w:rsid w:val="004B65D0"/>
    <w:rsid w:val="004C0EF3"/>
    <w:rsid w:val="004C5CF2"/>
    <w:rsid w:val="004D0E17"/>
    <w:rsid w:val="004E3894"/>
    <w:rsid w:val="004E6DE8"/>
    <w:rsid w:val="004E6E08"/>
    <w:rsid w:val="00501CD7"/>
    <w:rsid w:val="0050256D"/>
    <w:rsid w:val="005037B8"/>
    <w:rsid w:val="005228E0"/>
    <w:rsid w:val="005305B8"/>
    <w:rsid w:val="00566AE1"/>
    <w:rsid w:val="00570B73"/>
    <w:rsid w:val="00577448"/>
    <w:rsid w:val="005775D4"/>
    <w:rsid w:val="00581F17"/>
    <w:rsid w:val="00591689"/>
    <w:rsid w:val="00593614"/>
    <w:rsid w:val="005945BB"/>
    <w:rsid w:val="005C1EA7"/>
    <w:rsid w:val="005D2E0E"/>
    <w:rsid w:val="005E2D03"/>
    <w:rsid w:val="005F5E45"/>
    <w:rsid w:val="0062015C"/>
    <w:rsid w:val="006234AF"/>
    <w:rsid w:val="006461D0"/>
    <w:rsid w:val="00653C09"/>
    <w:rsid w:val="00662ED8"/>
    <w:rsid w:val="00682C68"/>
    <w:rsid w:val="006A08F5"/>
    <w:rsid w:val="006A2114"/>
    <w:rsid w:val="006C6510"/>
    <w:rsid w:val="006E3D3C"/>
    <w:rsid w:val="006E5B6A"/>
    <w:rsid w:val="006F10B3"/>
    <w:rsid w:val="006F4210"/>
    <w:rsid w:val="006F5028"/>
    <w:rsid w:val="00710868"/>
    <w:rsid w:val="007113CC"/>
    <w:rsid w:val="00717815"/>
    <w:rsid w:val="007221A9"/>
    <w:rsid w:val="00733D3B"/>
    <w:rsid w:val="0075537E"/>
    <w:rsid w:val="007744BC"/>
    <w:rsid w:val="007847A8"/>
    <w:rsid w:val="00796B8E"/>
    <w:rsid w:val="007C07A2"/>
    <w:rsid w:val="007C3A6B"/>
    <w:rsid w:val="007D5B36"/>
    <w:rsid w:val="007E04E0"/>
    <w:rsid w:val="007E2A07"/>
    <w:rsid w:val="00805D75"/>
    <w:rsid w:val="00805FEC"/>
    <w:rsid w:val="00825803"/>
    <w:rsid w:val="0082689A"/>
    <w:rsid w:val="00826B43"/>
    <w:rsid w:val="0082774E"/>
    <w:rsid w:val="00833469"/>
    <w:rsid w:val="00835BAA"/>
    <w:rsid w:val="00857041"/>
    <w:rsid w:val="0087021D"/>
    <w:rsid w:val="00887F04"/>
    <w:rsid w:val="008A0F27"/>
    <w:rsid w:val="008B51F7"/>
    <w:rsid w:val="008D0B47"/>
    <w:rsid w:val="008D42ED"/>
    <w:rsid w:val="008D7C2A"/>
    <w:rsid w:val="008E5CFB"/>
    <w:rsid w:val="0091344A"/>
    <w:rsid w:val="00914AC2"/>
    <w:rsid w:val="00915B04"/>
    <w:rsid w:val="009758A9"/>
    <w:rsid w:val="00992719"/>
    <w:rsid w:val="00994DBD"/>
    <w:rsid w:val="009A2D2F"/>
    <w:rsid w:val="009C2D0A"/>
    <w:rsid w:val="009C2FDB"/>
    <w:rsid w:val="009C50B4"/>
    <w:rsid w:val="00A06370"/>
    <w:rsid w:val="00A11A95"/>
    <w:rsid w:val="00A208C8"/>
    <w:rsid w:val="00A409C3"/>
    <w:rsid w:val="00A56224"/>
    <w:rsid w:val="00A734A5"/>
    <w:rsid w:val="00A739BA"/>
    <w:rsid w:val="00A906B5"/>
    <w:rsid w:val="00A94267"/>
    <w:rsid w:val="00AA0E3B"/>
    <w:rsid w:val="00AB7483"/>
    <w:rsid w:val="00AC40EC"/>
    <w:rsid w:val="00AE4017"/>
    <w:rsid w:val="00AF5BCA"/>
    <w:rsid w:val="00B02E1C"/>
    <w:rsid w:val="00B0498B"/>
    <w:rsid w:val="00B228AD"/>
    <w:rsid w:val="00B25C09"/>
    <w:rsid w:val="00B32F32"/>
    <w:rsid w:val="00B361CA"/>
    <w:rsid w:val="00B36903"/>
    <w:rsid w:val="00B51B08"/>
    <w:rsid w:val="00B63813"/>
    <w:rsid w:val="00B63955"/>
    <w:rsid w:val="00B75E6C"/>
    <w:rsid w:val="00B97430"/>
    <w:rsid w:val="00BA6408"/>
    <w:rsid w:val="00BA759C"/>
    <w:rsid w:val="00BC5253"/>
    <w:rsid w:val="00BD65DF"/>
    <w:rsid w:val="00C13054"/>
    <w:rsid w:val="00C13BD3"/>
    <w:rsid w:val="00C245A3"/>
    <w:rsid w:val="00C251A2"/>
    <w:rsid w:val="00C316F1"/>
    <w:rsid w:val="00C34728"/>
    <w:rsid w:val="00C6579D"/>
    <w:rsid w:val="00C66A1E"/>
    <w:rsid w:val="00C76295"/>
    <w:rsid w:val="00C80CAB"/>
    <w:rsid w:val="00C82B41"/>
    <w:rsid w:val="00C928EC"/>
    <w:rsid w:val="00CA4187"/>
    <w:rsid w:val="00CA64DC"/>
    <w:rsid w:val="00CB0FC5"/>
    <w:rsid w:val="00CB7BA8"/>
    <w:rsid w:val="00CC2DA1"/>
    <w:rsid w:val="00CD27F0"/>
    <w:rsid w:val="00CE7AA6"/>
    <w:rsid w:val="00CF2999"/>
    <w:rsid w:val="00CF65C4"/>
    <w:rsid w:val="00D12193"/>
    <w:rsid w:val="00D25008"/>
    <w:rsid w:val="00D52A2C"/>
    <w:rsid w:val="00D537AF"/>
    <w:rsid w:val="00D57F4F"/>
    <w:rsid w:val="00D83DD5"/>
    <w:rsid w:val="00D95159"/>
    <w:rsid w:val="00DA09E9"/>
    <w:rsid w:val="00DC1B35"/>
    <w:rsid w:val="00DC5250"/>
    <w:rsid w:val="00DC78C4"/>
    <w:rsid w:val="00DD5070"/>
    <w:rsid w:val="00E01C64"/>
    <w:rsid w:val="00E04DA5"/>
    <w:rsid w:val="00E309EF"/>
    <w:rsid w:val="00E31891"/>
    <w:rsid w:val="00E64595"/>
    <w:rsid w:val="00E84DA4"/>
    <w:rsid w:val="00E9070A"/>
    <w:rsid w:val="00EA2B9E"/>
    <w:rsid w:val="00EA3CEA"/>
    <w:rsid w:val="00EB04F9"/>
    <w:rsid w:val="00EC2720"/>
    <w:rsid w:val="00EE1558"/>
    <w:rsid w:val="00EE3D1F"/>
    <w:rsid w:val="00EF7052"/>
    <w:rsid w:val="00F05626"/>
    <w:rsid w:val="00F07781"/>
    <w:rsid w:val="00F250FE"/>
    <w:rsid w:val="00F32744"/>
    <w:rsid w:val="00F32CFE"/>
    <w:rsid w:val="00F6014A"/>
    <w:rsid w:val="00F62ED2"/>
    <w:rsid w:val="00F651BB"/>
    <w:rsid w:val="00F70CEC"/>
    <w:rsid w:val="00F71AED"/>
    <w:rsid w:val="00F80656"/>
    <w:rsid w:val="00F8549C"/>
    <w:rsid w:val="00F96E59"/>
    <w:rsid w:val="00FA0900"/>
    <w:rsid w:val="00FB4A08"/>
    <w:rsid w:val="00FD7A7B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9CD0"/>
  <w15:chartTrackingRefBased/>
  <w15:docId w15:val="{208FEA4E-3A36-46FA-8440-AB021B6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C0"/>
  </w:style>
  <w:style w:type="paragraph" w:styleId="Heading1">
    <w:name w:val="heading 1"/>
    <w:basedOn w:val="Normal"/>
    <w:next w:val="Normal"/>
    <w:link w:val="Heading1Char"/>
    <w:qFormat/>
    <w:rsid w:val="00AB748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7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7483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21219F"/>
    <w:rPr>
      <w:color w:val="0563C1"/>
      <w:u w:val="single"/>
    </w:rPr>
  </w:style>
  <w:style w:type="paragraph" w:styleId="NoSpacing">
    <w:name w:val="No Spacing"/>
    <w:uiPriority w:val="1"/>
    <w:qFormat/>
    <w:rsid w:val="00A73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Bellamy</dc:creator>
  <cp:keywords/>
  <dc:description/>
  <cp:lastModifiedBy>Jessica Draper</cp:lastModifiedBy>
  <cp:revision>3</cp:revision>
  <dcterms:created xsi:type="dcterms:W3CDTF">2024-11-19T10:24:00Z</dcterms:created>
  <dcterms:modified xsi:type="dcterms:W3CDTF">2025-03-26T14:24:00Z</dcterms:modified>
</cp:coreProperties>
</file>